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D4" w:rsidRDefault="00424CD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4CD4" w:rsidRDefault="00424CD4">
      <w:pPr>
        <w:pStyle w:val="ConsPlusNormal"/>
        <w:jc w:val="both"/>
        <w:outlineLvl w:val="0"/>
      </w:pPr>
    </w:p>
    <w:p w:rsidR="00424CD4" w:rsidRDefault="00424CD4">
      <w:pPr>
        <w:pStyle w:val="ConsPlusNormal"/>
        <w:outlineLvl w:val="0"/>
      </w:pPr>
      <w:r>
        <w:t>Зарегистрировано в Минюсте России 25 декабря 2018 г. N 53153</w:t>
      </w:r>
    </w:p>
    <w:p w:rsidR="00424CD4" w:rsidRDefault="0042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424CD4" w:rsidRDefault="00424CD4">
      <w:pPr>
        <w:pStyle w:val="ConsPlusTitle"/>
        <w:jc w:val="both"/>
      </w:pPr>
    </w:p>
    <w:p w:rsidR="00424CD4" w:rsidRDefault="00424CD4">
      <w:pPr>
        <w:pStyle w:val="ConsPlusTitle"/>
        <w:jc w:val="center"/>
      </w:pPr>
      <w:r>
        <w:t>ПРИКАЗ</w:t>
      </w:r>
    </w:p>
    <w:p w:rsidR="00424CD4" w:rsidRDefault="00424CD4">
      <w:pPr>
        <w:pStyle w:val="ConsPlusTitle"/>
        <w:jc w:val="center"/>
      </w:pPr>
      <w:r>
        <w:t>от 21 ноября 2018 г. N 247</w:t>
      </w:r>
    </w:p>
    <w:p w:rsidR="00424CD4" w:rsidRDefault="00424CD4">
      <w:pPr>
        <w:pStyle w:val="ConsPlusTitle"/>
        <w:jc w:val="both"/>
      </w:pPr>
    </w:p>
    <w:p w:rsidR="00424CD4" w:rsidRDefault="00424CD4">
      <w:pPr>
        <w:pStyle w:val="ConsPlusTitle"/>
        <w:jc w:val="center"/>
      </w:pPr>
      <w:r>
        <w:t>ОБ УСТАНОВЛЕНИИ ТРЕБОВАНИЙ</w:t>
      </w:r>
    </w:p>
    <w:p w:rsidR="00424CD4" w:rsidRDefault="00424CD4">
      <w:pPr>
        <w:pStyle w:val="ConsPlusTitle"/>
        <w:jc w:val="center"/>
      </w:pPr>
      <w:r>
        <w:t>К СТРУКТУРЕ И СОДЕРЖАНИЮ ТАРИФНОГО СОГЛАШЕНИЯ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 приказываю: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1" w:history="1">
        <w:r>
          <w:rPr>
            <w:color w:val="0000FF"/>
          </w:rPr>
          <w:t>Требования</w:t>
        </w:r>
      </w:hyperlink>
      <w:r>
        <w:t xml:space="preserve"> к структуре и содержанию тарифного соглашения согласно приложению.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2. Признать утратившими силу приказы Федерального фонда обязательного медицинского страхования:</w:t>
      </w:r>
    </w:p>
    <w:p w:rsidR="00424CD4" w:rsidRDefault="00424CD4">
      <w:pPr>
        <w:pStyle w:val="ConsPlusNormal"/>
        <w:spacing w:before="220"/>
        <w:ind w:firstLine="540"/>
        <w:jc w:val="both"/>
      </w:pPr>
      <w:proofErr w:type="gramStart"/>
      <w:r>
        <w:t xml:space="preserve">от 18 ноября 2014 г. </w:t>
      </w:r>
      <w:hyperlink r:id="rId7" w:history="1">
        <w:r>
          <w:rPr>
            <w:color w:val="0000FF"/>
          </w:rPr>
          <w:t>N 200</w:t>
        </w:r>
      </w:hyperlink>
      <w:r>
        <w:t xml:space="preserve"> "Об установлении Требований к структуре и содержанию тарифного соглашения" (зарегистрирован Министерством юстиции Российской Федерации 24 декабря 2014 г., регистрационный N 35382);</w:t>
      </w:r>
      <w:proofErr w:type="gramEnd"/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от 14 апреля 2015 г. </w:t>
      </w:r>
      <w:hyperlink r:id="rId8" w:history="1">
        <w:r>
          <w:rPr>
            <w:color w:val="0000FF"/>
          </w:rPr>
          <w:t>N 64</w:t>
        </w:r>
      </w:hyperlink>
      <w:r>
        <w:t xml:space="preserve"> "О внесении изменений в Требования к структуре и содержанию тарифного соглашения" (зарегистрирован Министерством юстиции Российской Федерации 28 апреля 2015 г., регистрационный N 37048);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от 29 ноября 2016 г. </w:t>
      </w:r>
      <w:hyperlink r:id="rId9" w:history="1">
        <w:r>
          <w:rPr>
            <w:color w:val="0000FF"/>
          </w:rPr>
          <w:t>N 267</w:t>
        </w:r>
      </w:hyperlink>
      <w:r>
        <w:t xml:space="preserve"> "О внесении изменений в Требования к структуре и содержанию тарифного соглашения, утвержденные приказом Федерального фонда обязательного медицинского страхования от 18 ноября 2014 г. N 200" (зарегистрирован Министерством юстиции Российской Федерации 12 декабря 2016 г., регистрационный N 44665).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right"/>
      </w:pPr>
      <w:r>
        <w:t>Председатель</w:t>
      </w:r>
    </w:p>
    <w:p w:rsidR="00424CD4" w:rsidRDefault="00424CD4">
      <w:pPr>
        <w:pStyle w:val="ConsPlusNormal"/>
        <w:jc w:val="right"/>
      </w:pPr>
      <w:r>
        <w:t>Н.Н.СТАДЧЕНКО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right"/>
        <w:outlineLvl w:val="0"/>
      </w:pPr>
      <w:r>
        <w:t>Приложение</w:t>
      </w:r>
    </w:p>
    <w:p w:rsidR="00424CD4" w:rsidRDefault="00424CD4">
      <w:pPr>
        <w:pStyle w:val="ConsPlusNormal"/>
        <w:jc w:val="right"/>
      </w:pPr>
      <w:r>
        <w:t>к приказу Федерального фонда</w:t>
      </w:r>
    </w:p>
    <w:p w:rsidR="00424CD4" w:rsidRDefault="00424CD4">
      <w:pPr>
        <w:pStyle w:val="ConsPlusNormal"/>
        <w:jc w:val="right"/>
      </w:pPr>
      <w:r>
        <w:t>обязательного медицинского страхования</w:t>
      </w:r>
    </w:p>
    <w:p w:rsidR="00424CD4" w:rsidRDefault="00424CD4">
      <w:pPr>
        <w:pStyle w:val="ConsPlusNormal"/>
        <w:jc w:val="right"/>
      </w:pPr>
      <w:r>
        <w:t>от 21 ноября 2018 г. N 247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Title"/>
        <w:jc w:val="center"/>
      </w:pPr>
      <w:bookmarkStart w:id="0" w:name="P31"/>
      <w:bookmarkEnd w:id="0"/>
      <w:r>
        <w:t>ТРЕБОВАНИЯ К СТРУКТУРЕ И СОДЕРЖАНИЮ ТАРИФНОГО СОГЛАШЕНИЯ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к структуре и содержанию тарифного соглашения, заключаемого между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Федерации, территориальным фондом обязательного медицинского страхования, страховыми медицинскими </w:t>
      </w:r>
      <w:r>
        <w:lastRenderedPageBreak/>
        <w:t xml:space="preserve">организациями, медицинскими профессиональными некоммерческими организациями, созданными в соответствии со </w:t>
      </w:r>
      <w:hyperlink r:id="rId10" w:history="1">
        <w:r>
          <w:rPr>
            <w:color w:val="0000FF"/>
          </w:rPr>
          <w:t>статьей 76</w:t>
        </w:r>
      </w:hyperlink>
      <w:r>
        <w:t xml:space="preserve"> Федерального закона от 21 ноября 2011 г. N 323-ФЗ "Об основах охраны здоровья граждан в Российской Федерации</w:t>
      </w:r>
      <w:proofErr w:type="gramEnd"/>
      <w:r>
        <w:t>" &lt;</w:t>
      </w:r>
      <w:proofErr w:type="gramStart"/>
      <w:r>
        <w:t xml:space="preserve">1&gt; (далее - Федеральный закон N 323-ФЗ) и профессиональными союзами медицинских работников или их объединениями (ассоциациями) (далее - тарифное соглашение), включенными в состав комиссии по разработке территориальной программы обязательного медицинского страхования (далее - комиссия), устанавливаются в соответствии с </w:t>
      </w:r>
      <w:hyperlink r:id="rId11" w:history="1">
        <w:r>
          <w:rPr>
            <w:color w:val="0000FF"/>
          </w:rPr>
          <w:t>частью 2 статьи 30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&lt;2&gt; (далее - Федеральный закон N</w:t>
      </w:r>
      <w:proofErr w:type="gramEnd"/>
      <w:r>
        <w:t xml:space="preserve"> </w:t>
      </w:r>
      <w:proofErr w:type="gramStart"/>
      <w:r>
        <w:t>326-ФЗ).</w:t>
      </w:r>
      <w:proofErr w:type="gramEnd"/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2011, N 48, ст. 6724; 2015, N 10, ст. 1425; 2016, N 1, ст. 9; 2018, N 1, ст. 49.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2010, N 49, ст. 6422; 2012, N 49, ст. 6758; 2013, N 48, ст. 6165.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>2. Структура тарифного соглашения должна включать следующие разделы: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1) общие положения;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2) способы оплаты медицинской помощи, применяемые в субъекте Российской Федерации;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3) размер и структура тарифов на оплату медицинской помощи;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4)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5) заключительные положения.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3. Раздел "Общие положения" должен содержать сведения об основаниях заключения тарифного соглашения (нормативные правовые акты, в соответствии с которыми разрабатывалось и заключалось тарифное соглашение), предмете тарифного соглашения, представителях сторон комиссии, заключивших тарифное соглашение, а также иную информацию в части общих положений (основные термины, определения и прочее).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Раздел "Способы оплаты медицинской помощи, применяемые в субъекте Российской Федерации" должен содержать сведения о применяемых способах оплаты медицинской помощи,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страхования, утверждаемой в составе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&lt;3&gt;, в медицинских организациях:</w:t>
      </w:r>
      <w:proofErr w:type="gramEnd"/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1 статьи 35</w:t>
        </w:r>
      </w:hyperlink>
      <w:r>
        <w:t xml:space="preserve"> Федерального закона N 326-ФЗ (Собрание законодательства Российской Федерации, 2010, N 49, ст. 6422; 2013, N 48, ст. 6165; 2014, N 49, ст. 6927).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bookmarkStart w:id="1" w:name="P49"/>
      <w:bookmarkEnd w:id="1"/>
      <w:r>
        <w:t>1) при оплате медицинской помощи, оказанной в амбулаторных условиях: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а) 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lastRenderedPageBreak/>
        <w:t>б) за единицу объема медицинской помощи - за медицинскую услугу, за посещение, за обращение (законченный случай);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в) 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2" w:name="P53"/>
      <w:bookmarkEnd w:id="2"/>
      <w:r>
        <w:t>2) при оплате медицинской помощи, оказанной в стационарных условиях и в условиях дневного стационара: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а) за законченный случай лечения заболевания, включенного в соответствующую группу заболеваний (в том числе клинико-статистические группы заболеваний) (далее - КСГ);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б) 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4" w:name="P56"/>
      <w:bookmarkEnd w:id="4"/>
      <w:r>
        <w:t>3) при оплате скорой медицинской помощи, оказанной вне медицинской организации, - по подушевому нормативу финансирования в сочетании с оплатой за вызов скорой медицинской помощи;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5" w:name="P57"/>
      <w:bookmarkEnd w:id="5"/>
      <w:proofErr w:type="gramStart"/>
      <w:r>
        <w:t>4) 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-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</w:t>
      </w:r>
      <w:proofErr w:type="gramEnd"/>
      <w:r>
        <w:t xml:space="preserve"> объема медицинской помощи).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5. Раздел "Размер и структура тарифов на оплату медицинской помощи" должен содержать сведения о тарифах на оплату медицинской помощи и их структуру.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5.1. Размер и структура тарифов на оплату медицинской помощи должны определяться в зависимости от форм, видов и условий оказания медицинской помощи &lt;4&gt; и рассчитываться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расчета тарифов на оплату медицинской помощи по обязательному медицинскому страхованию &lt;5&gt;.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Статья 32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424CD4" w:rsidRDefault="00424CD4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6" w:history="1">
        <w:r>
          <w:rPr>
            <w:color w:val="0000FF"/>
          </w:rPr>
          <w:t>Глава XI</w:t>
        </w:r>
      </w:hyperlink>
      <w:r>
        <w:t xml:space="preserve"> Правил обязательного медицинского страхования, утвержденных приказом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развития Российской Федерации от 10 августа 2011 г. N 897н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12 августа 2011 г., регистрационный N 21609) и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</w:t>
      </w:r>
      <w:proofErr w:type="gramEnd"/>
      <w:r>
        <w:t xml:space="preserve">. </w:t>
      </w:r>
      <w:proofErr w:type="gramStart"/>
      <w:r>
        <w:t xml:space="preserve">N 396н (зарегистрирован Министерством юстиции </w:t>
      </w:r>
      <w:r>
        <w:lastRenderedPageBreak/>
        <w:t>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4 мая 2016 г., регистрационный N 41969), от 28 июня 2016 г. N 423н (зарегистрирован Министерством юстиции Российской Федерации 18 июля 2016 г., регистрационный N 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21 декабря 2016 г., регистрационный N 44840) и от 11 января 2017 г. N 2н (зарегистрирован Министерством юстиции Российской Федерации 27 января 2017 г., регистрационный N 45459).</w:t>
      </w:r>
      <w:proofErr w:type="gramEnd"/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>5.2. Размер и структура тарифов на оплату медицинской помощи должны определяться дифференцированно с учетом коэффициента уровня оказания медицинской помощи для групп медицинских организаций и (или) структурных подразделений медицинских организаций: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6" w:name="P65"/>
      <w:bookmarkEnd w:id="6"/>
      <w:r>
        <w:t>1) коэффициент первого уровня оказания медицинской помощи - для медицинских организаций и (или) структурных подразделений медицинских организаций, оказывающих населению в пределах муниципального образования (внутригородского округа) первичную медико-санитарную помощь и (или) специализированную (за исключением высокотехнологичной) медицинскую помощь и (или) скорую, в том числе скорую специализированную, медицинскую помощь;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7" w:name="P66"/>
      <w:bookmarkEnd w:id="7"/>
      <w:r>
        <w:t>2) коэффициент второго уровня оказания медицинской помощи - для медицинских организаций и (или) структурных подразделений медицинских организаций, имеющих в своей структуре отделения и (или) центры, оказывающие медицинскую помощь (за исключением высокотехнологичной) населению нескольких муниципальных образований, а также для специализированных больниц, больниц скорой медицинской помощи, центров, диспансеров;</w:t>
      </w:r>
    </w:p>
    <w:p w:rsidR="00424CD4" w:rsidRDefault="00424CD4">
      <w:pPr>
        <w:pStyle w:val="ConsPlusNormal"/>
        <w:spacing w:before="220"/>
        <w:ind w:firstLine="540"/>
        <w:jc w:val="both"/>
      </w:pPr>
      <w:bookmarkStart w:id="8" w:name="P67"/>
      <w:bookmarkEnd w:id="8"/>
      <w:r>
        <w:t>3) коэффициент третьего уровня оказания медицинской помощи - для медицинских организаций и (или) структурных подразделений медицинских организаций, оказывающих населению высокотехнологичную медицинскую помощь.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5.3. При определении тарифов за оказанную медицинскую помощь по способам оплаты медицинской помощи, установленным </w:t>
      </w:r>
      <w:hyperlink w:anchor="P49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56" w:history="1">
        <w:r>
          <w:rPr>
            <w:color w:val="0000FF"/>
          </w:rPr>
          <w:t>3</w:t>
        </w:r>
      </w:hyperlink>
      <w:r>
        <w:t xml:space="preserve"> и </w:t>
      </w:r>
      <w:hyperlink w:anchor="P57" w:history="1">
        <w:r>
          <w:rPr>
            <w:color w:val="0000FF"/>
          </w:rPr>
          <w:t>4 пункта 4</w:t>
        </w:r>
      </w:hyperlink>
      <w:r>
        <w:t xml:space="preserve"> настоящих Требований, должны устанавливаться:</w:t>
      </w:r>
    </w:p>
    <w:p w:rsidR="00424CD4" w:rsidRDefault="00424CD4">
      <w:pPr>
        <w:pStyle w:val="ConsPlusNormal"/>
        <w:spacing w:before="220"/>
        <w:ind w:firstLine="540"/>
        <w:jc w:val="both"/>
      </w:pPr>
      <w:proofErr w:type="gramStart"/>
      <w:r>
        <w:t>1) перечень расходов на медицинскую помощь, финансовое обеспечение которых осуществляется по подушевому нормативу финансирования;</w:t>
      </w:r>
      <w:proofErr w:type="gramEnd"/>
    </w:p>
    <w:p w:rsidR="00424CD4" w:rsidRDefault="00424CD4">
      <w:pPr>
        <w:pStyle w:val="ConsPlusNormal"/>
        <w:spacing w:before="220"/>
        <w:ind w:firstLine="540"/>
        <w:jc w:val="both"/>
      </w:pPr>
      <w:r>
        <w:t>2)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3) размер базового (среднего) подушевого норматива финансирования в соответствии с перечнем расходов на медицинскую помощь, финансовое обеспечение которых осуществляется по подушевому нормативу финансирования;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4) значения дифференцированных подушевых нормативов финансирования для однородных групп медицинских организаций, рассчитанных на основе базового (среднего) подушевого норматива финансирования и коэффициентов дифференциации, учитывающих </w:t>
      </w:r>
      <w:r>
        <w:lastRenderedPageBreak/>
        <w:t>следующие критерии: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половозрастной состав;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плотность населения;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транспортная доступность;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уровень и структура заболеваемости населения;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климатические и географические особенности регионов;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уровень расходов на содержание медицинских организаций (отдельных структурных подразделений медицинских организаций);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достижение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 &lt;6&gt;;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 (Собрание законодательства Российской Федерации, 2012, N 19, ст. 2334).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hyperlink r:id="rId18" w:history="1">
        <w:proofErr w:type="gramStart"/>
        <w:r>
          <w:rPr>
            <w:color w:val="0000FF"/>
          </w:rPr>
          <w:t>районные коэффициенты</w:t>
        </w:r>
      </w:hyperlink>
      <w:r>
        <w:t xml:space="preserve"> к заработной плате и процентные надбавки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для территории субъекта Российской Федерации или г. Байконура законодательными и иными нормативными правовыми актами Российской Федерации и Союза ССР или коэффициента ценовой дифференциации бюджетных услуг</w:t>
      </w:r>
      <w:proofErr w:type="gramEnd"/>
      <w:r>
        <w:t xml:space="preserve"> (в случае их установления на территории субъекта Российской Федерации);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5) тарифы на оплату единиц объема медицинской помощи (медицинская услуга &lt;7&gt;, посещение, обращение (законченный случай)), профилактические мероприятия, включая диспансеризацию, вызов скорой медицинской помощи, </w:t>
      </w:r>
      <w:proofErr w:type="gramStart"/>
      <w:r>
        <w:t>применяемые</w:t>
      </w:r>
      <w:proofErr w:type="gramEnd"/>
      <w:r>
        <w:t xml:space="preserve"> в том числе для оплаты стоимости медицинской помощи, оказанной медицинскими организациями субъекта Российской Федерации лицам, застрахованным на территории других субъектов Российской Федерации;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 xml:space="preserve">6) перечень показателей </w:t>
      </w:r>
      <w:proofErr w:type="gramStart"/>
      <w:r>
        <w:t>результативности</w:t>
      </w:r>
      <w:proofErr w:type="gramEnd"/>
      <w:r>
        <w:t xml:space="preserve"> деятельности медицинских организаций, имеющих прикрепившихся лиц (включая показатели объема медицинской помощи), и критерии их оценки (включая целевые значения), а также порядок осуществления выплат медицинским организациям за достижение указанных показателей &lt;8&gt;.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&lt;8</w:t>
      </w:r>
      <w:proofErr w:type="gramStart"/>
      <w:r>
        <w:t>&gt; Д</w:t>
      </w:r>
      <w:proofErr w:type="gramEnd"/>
      <w:r>
        <w:t xml:space="preserve">ля медицинских организаций, оплата медицинской помощи в которых осуществляется по подушевому нормативу финансирования на прикрепившихся лиц 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</w:t>
      </w:r>
      <w:r>
        <w:lastRenderedPageBreak/>
        <w:t>оказываемую в иных медицинских организациях (за единицу объема медицинской помощи), и по подушевому нормативу финансирования на прикрепившихся к данной медицинской организации лиц (включая оплату медицинской помощи по всем видам и условиям предоставляемой указанной медицинской организацией медицинской помощи), с учетом показателей результативности деятельности медицинской организации (включая показатели объема медицинской помощи).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 xml:space="preserve">5.4. При определении тарифов за оказанную медицинскую помощь по способам оплаты медицинской помощи, установленным </w:t>
      </w:r>
      <w:hyperlink w:anchor="P53" w:history="1">
        <w:r>
          <w:rPr>
            <w:color w:val="0000FF"/>
          </w:rPr>
          <w:t>подпунктом 2 пункта 4</w:t>
        </w:r>
      </w:hyperlink>
      <w:r>
        <w:t xml:space="preserve"> настоящих Требований, должны устанавливаться: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1) 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2) перечень групп заболеваний, в том числе КСГ или клинико-профильных групп заболеваний (далее - КПГ) с указанием коэффициентов </w:t>
      </w:r>
      <w:proofErr w:type="gramStart"/>
      <w:r>
        <w:t>относительной</w:t>
      </w:r>
      <w:proofErr w:type="gramEnd"/>
      <w:r>
        <w:t xml:space="preserve"> затратоемкости КСГ или КПГ;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3) размер средней стоимости законченного случая лечения, включенного в КСГ или КПГ (базовая ставка), в стационарных условиях не ниже 65% от норматива финансовых затрат на 1 случай госпитализации, в условиях дневного стационара - не ниже 60% от норматива финансовых затрат на 1 случай лечения, установленных территориальной программой обязательного медицинского страхования;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4) значения коэффициентов: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а) коэффициент дифференциации &lt;9&gt; (в случае, если коэффициент дифференциации не является единым для всей территории субъекта Российской Федерации);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</w:t>
      </w:r>
      <w:proofErr w:type="gramStart"/>
      <w:r>
        <w:t>страхования</w:t>
      </w:r>
      <w:proofErr w:type="gramEnd"/>
      <w:r>
        <w:t xml:space="preserve">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(Собрание законодательства Российской Федерации, 2012, N 20, ст. 2559; </w:t>
      </w:r>
      <w:proofErr w:type="gramStart"/>
      <w:r>
        <w:t>N 37, ст. 5002; 2013, N 45, ст. 5821; 2015, N 40, ст. 5554; 2017, N 15, ст. 2237; N 50, ст. 7636; 2018, N 44, ст. 6738).</w:t>
      </w:r>
      <w:proofErr w:type="gramEnd"/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ind w:firstLine="540"/>
        <w:jc w:val="both"/>
      </w:pPr>
      <w:r>
        <w:t>б) управленческий коэффициент - от 0,8 до 1,4;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в) коэффициент сложности лечения пациента - до 1,8;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г) коэффициент уровня оказания медицинской помощи: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коэффициент первого уровня оказания медицинской помощи для медицинских организаций и (или) структурных подразделений медицинских организаций, указанных в </w:t>
      </w:r>
      <w:hyperlink w:anchor="P65" w:history="1">
        <w:r>
          <w:rPr>
            <w:color w:val="0000FF"/>
          </w:rPr>
          <w:t>подпункте 1 пункта 5.2</w:t>
        </w:r>
      </w:hyperlink>
      <w:r>
        <w:t xml:space="preserve"> настоящих Требований, - 0,95, при выделении подуровней - от 0,7 до 1,2;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коэффициент второго уровня оказания медицинской помощи для медицинских организаций и (или) структурных подразделений медицинских организаций, указанных в </w:t>
      </w:r>
      <w:hyperlink w:anchor="P66" w:history="1">
        <w:r>
          <w:rPr>
            <w:color w:val="0000FF"/>
          </w:rPr>
          <w:t xml:space="preserve">подпункте 2 пункта </w:t>
        </w:r>
        <w:r>
          <w:rPr>
            <w:color w:val="0000FF"/>
          </w:rPr>
          <w:lastRenderedPageBreak/>
          <w:t>5.2</w:t>
        </w:r>
      </w:hyperlink>
      <w:r>
        <w:t xml:space="preserve"> настоящих Требований, - 1,1 при выделении подуровней - от 0,9 до 1,3;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коэффициент третьего уровня оказания медицинской помощи для медицинских организаций и (или) структурных подразделений медицинских организаций, указанных в </w:t>
      </w:r>
      <w:hyperlink w:anchor="P67" w:history="1">
        <w:r>
          <w:rPr>
            <w:color w:val="0000FF"/>
          </w:rPr>
          <w:t>подпункте 3 пункта 5.2</w:t>
        </w:r>
      </w:hyperlink>
      <w:r>
        <w:t xml:space="preserve"> настоящих Требований, - 1,3, при выделении подуровней - от 1,1 до 1,5;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для федеральных медицинских организаций и (или) структурных подразделений федеральных медицинских организаций, оказывающих высокотехнологичную медицинскую помощь, - от 1,4 до 1,7;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для медицинских организаций и (или) структурных подразделений медицинских организаций, расположенных на территории закрытых административных территориальных образований, - не менее 1,2;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5) размер оплаты случаев оказания медицинской помощи, предусмотренных </w:t>
      </w:r>
      <w:hyperlink w:anchor="P55" w:history="1">
        <w:r>
          <w:rPr>
            <w:color w:val="0000FF"/>
          </w:rPr>
          <w:t>подпунктом "б" подпункта 2 пункта 4</w:t>
        </w:r>
      </w:hyperlink>
      <w:r>
        <w:t xml:space="preserve"> настоящих Требований: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а) при выполнении хирургического вмешательства и (или) тромболитической терапии: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при длительности лечения 3 дня и менее - от 80 до 90% от стоимости КСГ или КПГ;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при длительности лечения более 3-х дней - от 80 до 100% от стоимости КСГ или КПГ;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б) при невыполнении хирургического вмешательства и (или) тромболитической терапии: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при длительности лечения 3 дня и менее - не более 50% от стоимости КСГ или КПГ;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при длительности лечения более 3-х дней - от 50 до 100% от стоимости КСГ или КПГ;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6) тарифы на оплату услуг диализа;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7) тарифы на оплату законченных случаев лечения заболеваний с применением методов высокотехнологичной медицинской помощи.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Раздел "Размер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качества" должен содержать применяемые к медицинским организациям, участвующим в реализации территориальных программ обязательного медицинского страхования, санкции за нарушения, выявленные при проведении контроля объемов, сроков, качества и условий предоставления медицинской помощи по обязательному медицинскому страхованию</w:t>
      </w:r>
      <w:proofErr w:type="gramEnd"/>
      <w:r>
        <w:t>.</w:t>
      </w:r>
    </w:p>
    <w:p w:rsidR="00424CD4" w:rsidRDefault="00424CD4">
      <w:pPr>
        <w:pStyle w:val="ConsPlusNormal"/>
        <w:spacing w:before="220"/>
        <w:ind w:firstLine="540"/>
        <w:jc w:val="both"/>
      </w:pPr>
      <w:r>
        <w:t>7. Раздел "Заключительные положения" должен устанавливать срок действия тарифного соглашения и порядок внесения в него изменений.</w:t>
      </w: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jc w:val="both"/>
      </w:pPr>
    </w:p>
    <w:p w:rsidR="00424CD4" w:rsidRDefault="00424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9" w:name="_GoBack"/>
      <w:bookmarkEnd w:id="9"/>
    </w:p>
    <w:sectPr w:rsidR="00E91809" w:rsidSect="00A7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D4"/>
    <w:rsid w:val="00424CD4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B751EDF9F9809C2B98BF83FA9C1539360480609AFEB7BFE024B8CA04E0AF93F99751BA106B1ADAEE6ACD0FBT9M7S" TargetMode="External"/><Relationship Id="rId13" Type="http://schemas.openxmlformats.org/officeDocument/2006/relationships/hyperlink" Target="consultantplus://offline/ref=BBEB751EDF9F9809C2B98BF83FA9C1539164400F0FAEEB7BFE024B8CA04E0AF92D992D17A300ABACAAF3FA81BECB43C9FB9A0A0B628EA9C2T4M8S" TargetMode="External"/><Relationship Id="rId18" Type="http://schemas.openxmlformats.org/officeDocument/2006/relationships/hyperlink" Target="consultantplus://offline/ref=BBEB751EDF9F9809C2B98BF83FA9C153936648060AAEEB7BFE024B8CA04E0AF93F99751BA106B1ADAEE6ACD0FBT9M7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BEB751EDF9F9809C2B98BF83FA9C1539067480904ACEB7BFE024B8CA04E0AF93F99751BA106B1ADAEE6ACD0FBT9M7S" TargetMode="External"/><Relationship Id="rId12" Type="http://schemas.openxmlformats.org/officeDocument/2006/relationships/hyperlink" Target="consultantplus://offline/ref=BBEB751EDF9F9809C2B98BF83FA9C1539165420B05ACEB7BFE024B8CA04E0AF92D992D17A300AFADA9F3FA81BECB43C9FB9A0A0B628EA9C2T4M8S" TargetMode="External"/><Relationship Id="rId17" Type="http://schemas.openxmlformats.org/officeDocument/2006/relationships/hyperlink" Target="consultantplus://offline/ref=BBEB751EDF9F9809C2B98BF83FA9C1539365490D08ABEB7BFE024B8CA04E0AF93F99751BA106B1ADAEE6ACD0FBT9M7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BEB751EDF9F9809C2B98BF83FA9C1539066420E04A8EB7BFE024B8CA04E0AF92D992D17A300AAA5A9F3FA81BECB43C9FB9A0A0B628EA9C2T4M8S" TargetMode="External"/><Relationship Id="rId20" Type="http://schemas.openxmlformats.org/officeDocument/2006/relationships/hyperlink" Target="consultantplus://offline/ref=BBEB751EDF9F9809C2B98BF83FA9C153916749080CAFEB7BFE024B8CA04E0AF93F99751BA106B1ADAEE6ACD0FBT9M7S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B751EDF9F9809C2B98BF83FA9C1539164400F0FAEEB7BFE024B8CA04E0AF92D992D17A300A8ABAFF3FA81BECB43C9FB9A0A0B628EA9C2T4M8S" TargetMode="External"/><Relationship Id="rId11" Type="http://schemas.openxmlformats.org/officeDocument/2006/relationships/hyperlink" Target="consultantplus://offline/ref=BBEB751EDF9F9809C2B98BF83FA9C1539164400F0FAEEB7BFE024B8CA04E0AF92D992D17A300A8ABAFF3FA81BECB43C9FB9A0A0B628EA9C2T4M8S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BEB751EDF9F9809C2B98BF83FA9C153916545080BABEB7BFE024B8CA04E0AF92D992D17A300ACA8A7F3FA81BECB43C9FB9A0A0B628EA9C2T4M8S" TargetMode="External"/><Relationship Id="rId10" Type="http://schemas.openxmlformats.org/officeDocument/2006/relationships/hyperlink" Target="consultantplus://offline/ref=BBEB751EDF9F9809C2B98BF83FA9C153916545080BABEB7BFE024B8CA04E0AF92D992D17A300A8AAAFF3FA81BECB43C9FB9A0A0B628EA9C2T4M8S" TargetMode="External"/><Relationship Id="rId19" Type="http://schemas.openxmlformats.org/officeDocument/2006/relationships/hyperlink" Target="consultantplus://offline/ref=BBEB751EDF9F9809C2B98BF83FA9C153916547090AA9EB7BFE024B8CA04E0AF93F99751BA106B1ADAEE6ACD0FBT9M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EB751EDF9F9809C2B98BF83FA9C1539067480809AFEB7BFE024B8CA04E0AF93F99751BA106B1ADAEE6ACD0FBT9M7S" TargetMode="External"/><Relationship Id="rId14" Type="http://schemas.openxmlformats.org/officeDocument/2006/relationships/hyperlink" Target="consultantplus://offline/ref=BBEB751EDF9F9809C2B98BF83FA9C1539165440908AFEB7BFE024B8CA04E0AF92D992D17A300A6A8AEF3FA81BECB43C9FB9A0A0B628EA9C2T4M8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2019-11-26T18:12:00Z</dcterms:created>
  <dcterms:modified xsi:type="dcterms:W3CDTF">2019-11-26T18:12:00Z</dcterms:modified>
</cp:coreProperties>
</file>