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0B" w:rsidRPr="00C5280B" w:rsidRDefault="00C5280B" w:rsidP="00C5280B">
      <w:pPr>
        <w:jc w:val="center"/>
        <w:rPr>
          <w:rFonts w:ascii="Times New Roman" w:hAnsi="Times New Roman" w:cs="Times New Roman"/>
          <w:b/>
        </w:rPr>
      </w:pPr>
      <w:r w:rsidRPr="00C5280B">
        <w:rPr>
          <w:rFonts w:ascii="Times New Roman" w:hAnsi="Times New Roman" w:cs="Times New Roman"/>
          <w:b/>
        </w:rPr>
        <w:t>Профессиональная этика в профилактике коррупции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 xml:space="preserve">Общество предъявляет повышенные моральные требования к лицам, чья деятельность направлена на обеспечение интересов людей, нуждающихся в помощи и защите. Важно помнить, что главной задачей </w:t>
      </w:r>
      <w:proofErr w:type="gramStart"/>
      <w:r w:rsidRPr="00C5280B">
        <w:rPr>
          <w:rFonts w:ascii="Times New Roman" w:hAnsi="Times New Roman" w:cs="Times New Roman"/>
          <w:sz w:val="17"/>
          <w:szCs w:val="17"/>
        </w:rPr>
        <w:t>деятельности коллектива работников Кировского областного территориального фонда обязательного медицинского страхования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 xml:space="preserve"> является обеспечение гарантий бесплатного оказания гражданам медицинской помощи по обязательному медицинскому страхованию. Недобросовестное поведение работников может оказать влияние на судьбы людей. В связи с этим, совершенствование профессиональной этики работников Фонда имеет особое значение.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При принятии управленческих решений и в ежеминутном труде работнику Фонда надлежит руководствоваться этическими нормами и правилами, что особенно трудно в постоянно изменяющихся условиях, условиях дефицита времени, большого объема поставленных задач, эмоционального напряжения.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Поведение людей в условиях кризиса приобретает ряд особенностей, которые вряд ли можно наблюдать в другое время. Главная из них – попытка приспособится к изменившимся обстоятельствам. Но наряду с сиюминутным приспособлением вырисовывается и иная задача – определить стратегию жизни в предстоящий период, основную линию своего поведения на длительную перспективу. Эта задача включает несколько элементов:</w:t>
      </w:r>
    </w:p>
    <w:p w:rsidR="00C5280B" w:rsidRPr="00C5280B" w:rsidRDefault="00C5280B" w:rsidP="00C528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сохранение внутренней независимости и устойчивости;</w:t>
      </w:r>
    </w:p>
    <w:p w:rsidR="00C5280B" w:rsidRPr="00C5280B" w:rsidRDefault="00C5280B" w:rsidP="00C528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определение системы ценностей и предпочтений в новой системе отношений;</w:t>
      </w:r>
    </w:p>
    <w:p w:rsidR="00C5280B" w:rsidRPr="00C5280B" w:rsidRDefault="00C5280B" w:rsidP="00C528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выбор социальной группы, которая является стандартом, источником формирования социальных норм и ценностных ориентиров;</w:t>
      </w:r>
    </w:p>
    <w:p w:rsidR="00C5280B" w:rsidRPr="00C5280B" w:rsidRDefault="00C5280B" w:rsidP="00C5280B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выработка модели поведения в период кризиса и в период выхода из него.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При определении линии своего поведения каждый человек опирается на систему своих ценностных ориентиров, в которой одни ценности располагаются выше других и им отдается предпочтение по сравнению с другими, что и определяет выбор целей поведения, средств их достижения, мотивы поступков, особенно в ситуации конфликта.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Наибольшую остроту имеет нравственный выбор в ситуации получения работником незаконного распоряжения от вышестоящего руководителя. Выбор линии поведения в такой ситуации во многом определяет уровень коррупции в Российской Федерации в целом и в отдельно взятой организации в частности.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 xml:space="preserve">В Указе Петра </w:t>
      </w:r>
      <w:r w:rsidRPr="00C5280B">
        <w:rPr>
          <w:rFonts w:ascii="Times New Roman" w:hAnsi="Times New Roman" w:cs="Times New Roman"/>
          <w:sz w:val="17"/>
          <w:szCs w:val="17"/>
          <w:lang w:val="en-US"/>
        </w:rPr>
        <w:t>I</w:t>
      </w:r>
      <w:r w:rsidRPr="00C5280B">
        <w:rPr>
          <w:rFonts w:ascii="Times New Roman" w:hAnsi="Times New Roman" w:cs="Times New Roman"/>
          <w:sz w:val="17"/>
          <w:szCs w:val="17"/>
        </w:rPr>
        <w:t xml:space="preserve"> от 24.01.1724 «Об исполнительной дисциплине служащих государственных учреждений» предлагалось следующее: «Все подчиненные … должны в послушании быть у своих командиров во всем, что не противно указу. А ежели что противно, то отнюдь не делать под наказанием, яко преступнику указа, но </w:t>
      </w:r>
      <w:proofErr w:type="gramStart"/>
      <w:r w:rsidRPr="00C5280B">
        <w:rPr>
          <w:rFonts w:ascii="Times New Roman" w:hAnsi="Times New Roman" w:cs="Times New Roman"/>
          <w:sz w:val="17"/>
          <w:szCs w:val="17"/>
        </w:rPr>
        <w:t>должен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 xml:space="preserve"> командиру своему тайно объявить, что то противно указу. И ежели не послушает, то протестовать и доложить </w:t>
      </w:r>
      <w:proofErr w:type="gramStart"/>
      <w:r w:rsidRPr="00C5280B">
        <w:rPr>
          <w:rFonts w:ascii="Times New Roman" w:hAnsi="Times New Roman" w:cs="Times New Roman"/>
          <w:sz w:val="17"/>
          <w:szCs w:val="17"/>
        </w:rPr>
        <w:t>вышнему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 xml:space="preserve"> над тем командиром, кто приказывает. А </w:t>
      </w:r>
      <w:proofErr w:type="gramStart"/>
      <w:r w:rsidRPr="00C5280B">
        <w:rPr>
          <w:rFonts w:ascii="Times New Roman" w:hAnsi="Times New Roman" w:cs="Times New Roman"/>
          <w:sz w:val="17"/>
          <w:szCs w:val="17"/>
        </w:rPr>
        <w:t>ежели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 xml:space="preserve"> и в том увидит противность, то генерал-прокурору или … обер-прокурору. А </w:t>
      </w:r>
      <w:proofErr w:type="gramStart"/>
      <w:r w:rsidRPr="00C5280B">
        <w:rPr>
          <w:rFonts w:ascii="Times New Roman" w:hAnsi="Times New Roman" w:cs="Times New Roman"/>
          <w:sz w:val="17"/>
          <w:szCs w:val="17"/>
        </w:rPr>
        <w:t>ежели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 xml:space="preserve"> и в них усмотрит в том противность, то доносит нам, но чтоб была самая истина. А </w:t>
      </w:r>
      <w:proofErr w:type="gramStart"/>
      <w:r w:rsidRPr="00C5280B">
        <w:rPr>
          <w:rFonts w:ascii="Times New Roman" w:hAnsi="Times New Roman" w:cs="Times New Roman"/>
          <w:sz w:val="17"/>
          <w:szCs w:val="17"/>
        </w:rPr>
        <w:t>ежели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 xml:space="preserve"> неправда, то наказан будет сам, яко бы он то сделал».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 xml:space="preserve">Согласно частям 2 и 3 статьи 15 Федерального закона от 27.07.2004 № 79-ФЗ «О государственной гражданской службе Российской Федерации»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 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</w:t>
      </w:r>
      <w:hyperlink r:id="rId7" w:history="1">
        <w:r w:rsidRPr="00C5280B">
          <w:rPr>
            <w:rFonts w:ascii="Times New Roman" w:hAnsi="Times New Roman" w:cs="Times New Roman"/>
            <w:sz w:val="17"/>
            <w:szCs w:val="17"/>
          </w:rPr>
          <w:t>законами</w:t>
        </w:r>
      </w:hyperlink>
      <w:r w:rsidRPr="00C5280B">
        <w:rPr>
          <w:rFonts w:ascii="Times New Roman" w:hAnsi="Times New Roman" w:cs="Times New Roman"/>
          <w:sz w:val="17"/>
          <w:szCs w:val="17"/>
        </w:rPr>
        <w:t>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C5280B">
        <w:rPr>
          <w:rFonts w:ascii="Times New Roman" w:hAnsi="Times New Roman" w:cs="Times New Roman"/>
          <w:sz w:val="17"/>
          <w:szCs w:val="17"/>
        </w:rPr>
        <w:t xml:space="preserve">Работникам Фонда также надлежит при получении неправомерного поручения представить в письменной форме служебную записку с обоснованием неправомерности данного поручения с указанием положений законодательства Российской Федерации, которые могут быть нарушены при </w:t>
      </w:r>
      <w:r w:rsidRPr="00C5280B">
        <w:rPr>
          <w:rFonts w:ascii="Times New Roman" w:hAnsi="Times New Roman" w:cs="Times New Roman"/>
          <w:sz w:val="17"/>
          <w:szCs w:val="17"/>
        </w:rPr>
        <w:lastRenderedPageBreak/>
        <w:t>исполнении данного поручения, получить отметку за подписью непосредственного руководителя на копии служебной записки о получении с указанием фамилии, имени, отчества, должности, и даты.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 xml:space="preserve"> В случае отказа непосредственного руководителя от проставления отметки о получении, служебную записку необходимо вручить лицу, регистрирующему входящие документы, и поручить штамп о регистрации входящего документа на копии служебной записки.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 xml:space="preserve">Руководителю, получившему служебную записку с обоснованием неправомерности данного поручения, необходимо внимательно изучить доводы, изложенные в ней. По результатам рассмотрения такой служебной записки необходимо принять решение о ее обоснованности или необоснованности. При обоснованности доводов необходимо принять их к сведению и отозвать неправомерное поручение. При необоснованности доводов надлежит письменно разъяснить работнику суть данного поручения и опровергнуть каждый из доводов, изложенных в полученной служебной записке. Работник в случае несогласия с разъяснениями руководителя должен сообщить об этом вышестоящему руководителю. 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При наличии фактов склонения работника Фонда к совершению коррупционного правонарушения работник также должен письменно уведомить об этом начальника отдела правовой и кадровой работы.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Профессиональная этика работника Фонда должна отвечать принципам законности, гуманизма, беспристрастности, независимости, ответственности и справедливости.</w:t>
      </w:r>
    </w:p>
    <w:p w:rsidR="00C5280B" w:rsidRPr="00C5280B" w:rsidRDefault="00C5280B" w:rsidP="00C52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C5280B" w:rsidRPr="00C5280B" w:rsidRDefault="00C5280B" w:rsidP="00C528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80B">
        <w:rPr>
          <w:rFonts w:ascii="Times New Roman" w:hAnsi="Times New Roman" w:cs="Times New Roman"/>
          <w:sz w:val="16"/>
          <w:szCs w:val="16"/>
        </w:rPr>
        <w:t>Список литературы, использованной при подготовке памятки:</w:t>
      </w:r>
    </w:p>
    <w:p w:rsidR="00C5280B" w:rsidRPr="00C5280B" w:rsidRDefault="00C5280B" w:rsidP="00C528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80B">
        <w:rPr>
          <w:rFonts w:ascii="Times New Roman" w:hAnsi="Times New Roman" w:cs="Times New Roman"/>
          <w:sz w:val="16"/>
          <w:szCs w:val="16"/>
        </w:rPr>
        <w:t>1. Ахметова Н. Роль в профессиональной этики в профилактике коррупции//Власть. 2009, № 6, С. 106-109.</w:t>
      </w:r>
    </w:p>
    <w:p w:rsidR="00C5280B" w:rsidRPr="00C5280B" w:rsidRDefault="00C5280B" w:rsidP="00C528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80B">
        <w:rPr>
          <w:rFonts w:ascii="Times New Roman" w:hAnsi="Times New Roman" w:cs="Times New Roman"/>
          <w:sz w:val="16"/>
          <w:szCs w:val="16"/>
        </w:rPr>
        <w:t>2. </w:t>
      </w:r>
      <w:proofErr w:type="spellStart"/>
      <w:r w:rsidRPr="00C5280B">
        <w:rPr>
          <w:rFonts w:ascii="Times New Roman" w:hAnsi="Times New Roman" w:cs="Times New Roman"/>
          <w:sz w:val="16"/>
          <w:szCs w:val="16"/>
        </w:rPr>
        <w:t>Беггер</w:t>
      </w:r>
      <w:proofErr w:type="spellEnd"/>
      <w:r w:rsidRPr="00C5280B">
        <w:rPr>
          <w:rFonts w:ascii="Times New Roman" w:hAnsi="Times New Roman" w:cs="Times New Roman"/>
          <w:sz w:val="16"/>
          <w:szCs w:val="16"/>
        </w:rPr>
        <w:t xml:space="preserve"> Х. Петр </w:t>
      </w:r>
      <w:r w:rsidRPr="00C5280B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C5280B">
        <w:rPr>
          <w:rFonts w:ascii="Times New Roman" w:hAnsi="Times New Roman" w:cs="Times New Roman"/>
          <w:sz w:val="16"/>
          <w:szCs w:val="16"/>
        </w:rPr>
        <w:t>: обзор исследований. – М. 1985. С. 65-67.</w:t>
      </w:r>
    </w:p>
    <w:p w:rsidR="00C5280B" w:rsidRPr="00C5280B" w:rsidRDefault="00C5280B" w:rsidP="00C528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80B">
        <w:rPr>
          <w:rFonts w:ascii="Times New Roman" w:hAnsi="Times New Roman" w:cs="Times New Roman"/>
          <w:sz w:val="16"/>
          <w:szCs w:val="16"/>
        </w:rPr>
        <w:t>3. Золотухин Е., Золотухин В. «Нормальное» и «аномальное» общество//Свободная мысль. 1991, № 15, С.68.</w:t>
      </w:r>
    </w:p>
    <w:p w:rsidR="00C5280B" w:rsidRPr="00C5280B" w:rsidRDefault="00C5280B" w:rsidP="00C5280B">
      <w:pPr>
        <w:spacing w:after="0" w:line="240" w:lineRule="auto"/>
        <w:ind w:left="993" w:firstLine="567"/>
        <w:rPr>
          <w:rFonts w:ascii="Times New Roman" w:hAnsi="Times New Roman" w:cs="Times New Roman"/>
          <w:sz w:val="18"/>
          <w:szCs w:val="18"/>
        </w:rPr>
      </w:pPr>
    </w:p>
    <w:p w:rsidR="00C5280B" w:rsidRPr="00C5280B" w:rsidRDefault="00C5280B" w:rsidP="00C528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280B">
        <w:rPr>
          <w:rFonts w:ascii="Times New Roman" w:hAnsi="Times New Roman" w:cs="Times New Roman"/>
          <w:b/>
          <w:sz w:val="18"/>
          <w:szCs w:val="18"/>
        </w:rPr>
        <w:t xml:space="preserve">Негативное впечатление, даже будучи ошибочным, </w:t>
      </w:r>
    </w:p>
    <w:p w:rsidR="00C5280B" w:rsidRPr="00C5280B" w:rsidRDefault="00C5280B" w:rsidP="00C528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280B">
        <w:rPr>
          <w:rFonts w:ascii="Times New Roman" w:hAnsi="Times New Roman" w:cs="Times New Roman"/>
          <w:b/>
          <w:sz w:val="18"/>
          <w:szCs w:val="18"/>
        </w:rPr>
        <w:t>подрывает веру общества в добросовестность работников Фонда.</w:t>
      </w:r>
    </w:p>
    <w:p w:rsidR="00C5280B" w:rsidRPr="000F6A03" w:rsidRDefault="00C5280B" w:rsidP="00C528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280B">
        <w:rPr>
          <w:rFonts w:ascii="Times New Roman" w:hAnsi="Times New Roman" w:cs="Times New Roman"/>
          <w:b/>
          <w:sz w:val="18"/>
          <w:szCs w:val="18"/>
        </w:rPr>
        <w:t>Что поможет Вам избежать подозрений в недобросовестном поведении?</w:t>
      </w:r>
    </w:p>
    <w:p w:rsidR="00C5280B" w:rsidRPr="000F6A03" w:rsidRDefault="00C5280B" w:rsidP="00C5280B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5280B" w:rsidRPr="00C5280B" w:rsidRDefault="00C5280B" w:rsidP="00C5280B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Открытость. В общении с представителями иных организаций и органов власти рекомендуется придерживаться делового стиля, не допускать ведения переговоров в нерабочее время, на нейтральной территории, без использования служебных сре</w:t>
      </w:r>
      <w:proofErr w:type="gramStart"/>
      <w:r w:rsidRPr="00C5280B">
        <w:rPr>
          <w:rFonts w:ascii="Times New Roman" w:hAnsi="Times New Roman" w:cs="Times New Roman"/>
          <w:sz w:val="17"/>
          <w:szCs w:val="17"/>
        </w:rPr>
        <w:t>дств св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>язи, почтовых адресов юридических лиц. Во всех ситуациях, которые могут приводить к возникновению конфликтов, вести письменную переписку. При общении по электронной почте использовать общий почтовый ящик, при ведении устных переговоров использовать стационарный служебный телефон. Проекты документов высокой важности необходимо сохранять в электронном виде в месте, доступном для других работников Фонда.</w:t>
      </w:r>
    </w:p>
    <w:p w:rsidR="00C5280B" w:rsidRPr="00C5280B" w:rsidRDefault="00C5280B" w:rsidP="00C5280B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Компетентность. Рекомендуется не допускать публичных высказываний по вопросам, не относящимся к компетенции работника Фонда. При наличии сомнений при принятии решения в пределах своей компетенции необходимо сообщить об этом непосредственному руководителю.</w:t>
      </w:r>
    </w:p>
    <w:p w:rsidR="00C5280B" w:rsidRPr="00C5280B" w:rsidRDefault="00C5280B" w:rsidP="00C5280B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Субординация. Не рекомендуется вести переговоры с работником Фонда, не находящимся в непосредственном подчинении и не равным по должности, без согласования с непосредственным руководителем работника.</w:t>
      </w:r>
    </w:p>
    <w:p w:rsidR="00C5280B" w:rsidRPr="00C5280B" w:rsidRDefault="00C5280B" w:rsidP="00C5280B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 xml:space="preserve">Честность. </w:t>
      </w:r>
      <w:proofErr w:type="gramStart"/>
      <w:r w:rsidRPr="00C5280B">
        <w:rPr>
          <w:rFonts w:ascii="Times New Roman" w:hAnsi="Times New Roman" w:cs="Times New Roman"/>
          <w:sz w:val="17"/>
          <w:szCs w:val="17"/>
        </w:rPr>
        <w:t>Не допустимо</w:t>
      </w:r>
      <w:proofErr w:type="gramEnd"/>
      <w:r w:rsidRPr="00C5280B">
        <w:rPr>
          <w:rFonts w:ascii="Times New Roman" w:hAnsi="Times New Roman" w:cs="Times New Roman"/>
          <w:sz w:val="17"/>
          <w:szCs w:val="17"/>
        </w:rPr>
        <w:t xml:space="preserve"> использовать служебную информацию и материальные ресурсы Фонда в личных целях.</w:t>
      </w:r>
    </w:p>
    <w:p w:rsidR="00C5280B" w:rsidRPr="00C5280B" w:rsidRDefault="00C5280B" w:rsidP="00C5280B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 xml:space="preserve">Ответственность. Важно помнить о личной ответственности каждого работника за свою деятельность и деятельность подчиненных работников. </w:t>
      </w:r>
    </w:p>
    <w:p w:rsidR="00C5280B" w:rsidRPr="00C5280B" w:rsidRDefault="00C5280B" w:rsidP="00C528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Во всех ситуациях, создающих угрозу деловой репутации работника Фонда, необходимо незамедлительно сообщить ему об этом.</w:t>
      </w:r>
    </w:p>
    <w:p w:rsidR="00C5280B" w:rsidRPr="00C5280B" w:rsidRDefault="00C5280B" w:rsidP="00C5280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C5280B" w:rsidRPr="00C5280B" w:rsidRDefault="00C5280B" w:rsidP="00C5280B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C5280B">
        <w:rPr>
          <w:rFonts w:ascii="Times New Roman" w:hAnsi="Times New Roman" w:cs="Times New Roman"/>
          <w:sz w:val="17"/>
          <w:szCs w:val="17"/>
        </w:rPr>
        <w:t>Подготовлено отделом правовой и кадровой работы, 2019 год.</w:t>
      </w:r>
    </w:p>
    <w:p w:rsidR="0089297F" w:rsidRDefault="0089297F">
      <w:pPr>
        <w:rPr>
          <w:sz w:val="18"/>
          <w:szCs w:val="18"/>
        </w:rPr>
      </w:pPr>
    </w:p>
    <w:p w:rsidR="00F21456" w:rsidRDefault="00F21456">
      <w:pPr>
        <w:rPr>
          <w:sz w:val="18"/>
          <w:szCs w:val="18"/>
        </w:rPr>
      </w:pPr>
      <w:bookmarkStart w:id="0" w:name="_GoBack"/>
      <w:bookmarkEnd w:id="0"/>
    </w:p>
    <w:sectPr w:rsidR="00F21456" w:rsidSect="00854486">
      <w:pgSz w:w="16838" w:h="11906" w:orient="landscape"/>
      <w:pgMar w:top="567" w:right="567" w:bottom="567" w:left="426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457"/>
    <w:multiLevelType w:val="hybridMultilevel"/>
    <w:tmpl w:val="C60C3BB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33F1025"/>
    <w:multiLevelType w:val="hybridMultilevel"/>
    <w:tmpl w:val="F754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0B"/>
    <w:rsid w:val="000F6A03"/>
    <w:rsid w:val="00854486"/>
    <w:rsid w:val="0089297F"/>
    <w:rsid w:val="00C5280B"/>
    <w:rsid w:val="00F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5943EE625BA390D89F9782EF15932465C5A4B34890A6C7FD4B6D00E7CC98845479D8E2BA883B1ED397750E9CC75C4E5A562B412C138103AZ3q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9237-0840-40DE-A119-EBF5DE98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Перевощикова Татьяна Васильевна</dc:creator>
  <cp:lastModifiedBy>Титлянова Светлана Александровна</cp:lastModifiedBy>
  <cp:revision>3</cp:revision>
  <cp:lastPrinted>2020-05-14T08:40:00Z</cp:lastPrinted>
  <dcterms:created xsi:type="dcterms:W3CDTF">2020-05-14T08:25:00Z</dcterms:created>
  <dcterms:modified xsi:type="dcterms:W3CDTF">2023-01-23T06:48:00Z</dcterms:modified>
</cp:coreProperties>
</file>